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727C13F7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306745">
        <w:rPr>
          <w:b/>
        </w:rPr>
        <w:t>4</w:t>
      </w:r>
      <w:r>
        <w:rPr>
          <w:b/>
        </w:rPr>
        <w:t xml:space="preserve"> Standards: </w:t>
      </w:r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849"/>
        <w:gridCol w:w="2247"/>
        <w:gridCol w:w="1549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2E5952FE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91195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45" w:type="dxa"/>
          </w:tcPr>
          <w:p w14:paraId="1AEC1D13" w14:textId="1F93C50F" w:rsidR="00147161" w:rsidRPr="008E4945" w:rsidRDefault="00911951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for TV.</w:t>
            </w:r>
          </w:p>
        </w:tc>
        <w:tc>
          <w:tcPr>
            <w:tcW w:w="1620" w:type="dxa"/>
          </w:tcPr>
          <w:p w14:paraId="57ED0F11" w14:textId="6F7438E7" w:rsidR="006258F0" w:rsidRPr="008E4945" w:rsidRDefault="0091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for TV by learning the difference between a TV and a movie script.</w:t>
            </w:r>
          </w:p>
        </w:tc>
        <w:tc>
          <w:tcPr>
            <w:tcW w:w="3070" w:type="dxa"/>
          </w:tcPr>
          <w:p w14:paraId="7A7DB2FE" w14:textId="32C2A2C2" w:rsidR="00055A9F" w:rsidRPr="00DE080E" w:rsidRDefault="00C63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start writing their </w:t>
            </w:r>
            <w:r w:rsidR="00911951">
              <w:rPr>
                <w:rFonts w:ascii="Times New Roman" w:hAnsi="Times New Roman" w:cs="Times New Roman"/>
              </w:rPr>
              <w:t>TV scripts as a group.</w:t>
            </w:r>
          </w:p>
        </w:tc>
        <w:tc>
          <w:tcPr>
            <w:tcW w:w="3849" w:type="dxa"/>
          </w:tcPr>
          <w:p w14:paraId="1C4137A1" w14:textId="0582F945" w:rsidR="009103B4" w:rsidRPr="008E4945" w:rsidRDefault="00911951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2247" w:type="dxa"/>
          </w:tcPr>
          <w:p w14:paraId="0CFFCFF1" w14:textId="28DADDDD" w:rsidR="003C6F56" w:rsidRPr="008E4945" w:rsidRDefault="0091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t writing their TV scripts as a group.</w:t>
            </w:r>
          </w:p>
        </w:tc>
        <w:tc>
          <w:tcPr>
            <w:tcW w:w="1549" w:type="dxa"/>
          </w:tcPr>
          <w:p w14:paraId="4CD909B8" w14:textId="54D830DF" w:rsidR="00220713" w:rsidRPr="008E4945" w:rsidRDefault="0091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19DB4EA5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11951">
              <w:rPr>
                <w:rFonts w:ascii="Times New Roman" w:hAnsi="Times New Roman" w:cs="Times New Roman"/>
                <w:b/>
              </w:rPr>
              <w:t>April 1</w:t>
            </w:r>
          </w:p>
        </w:tc>
        <w:tc>
          <w:tcPr>
            <w:tcW w:w="1445" w:type="dxa"/>
          </w:tcPr>
          <w:p w14:paraId="6357B060" w14:textId="1C53A90B" w:rsidR="006714BE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how to write for TV. </w:t>
            </w:r>
          </w:p>
        </w:tc>
        <w:tc>
          <w:tcPr>
            <w:tcW w:w="1620" w:type="dxa"/>
          </w:tcPr>
          <w:p w14:paraId="176069E6" w14:textId="0C9C938D" w:rsidR="006714BE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write for TV by learning the difference between a TV and a movie script. </w:t>
            </w:r>
          </w:p>
        </w:tc>
        <w:tc>
          <w:tcPr>
            <w:tcW w:w="3070" w:type="dxa"/>
          </w:tcPr>
          <w:p w14:paraId="212BDDC1" w14:textId="36B4818E" w:rsidR="00877F70" w:rsidRPr="008E4945" w:rsidRDefault="00911951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be writing for their TV scripts as a group.</w:t>
            </w:r>
          </w:p>
        </w:tc>
        <w:tc>
          <w:tcPr>
            <w:tcW w:w="3849" w:type="dxa"/>
          </w:tcPr>
          <w:p w14:paraId="2AE6FD32" w14:textId="475845E1" w:rsidR="009103B4" w:rsidRPr="008E4945" w:rsidRDefault="0091195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2247" w:type="dxa"/>
          </w:tcPr>
          <w:p w14:paraId="7A8C36F6" w14:textId="10AD241A" w:rsidR="009103B4" w:rsidRPr="008E4945" w:rsidRDefault="0091195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1549" w:type="dxa"/>
          </w:tcPr>
          <w:p w14:paraId="7025665D" w14:textId="2FD0B9F3" w:rsidR="00220713" w:rsidRPr="008E4945" w:rsidRDefault="0091195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72DBB78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911951">
              <w:rPr>
                <w:rFonts w:ascii="Times New Roman" w:hAnsi="Times New Roman" w:cs="Times New Roman"/>
                <w:b/>
              </w:rPr>
              <w:t>April2</w:t>
            </w:r>
          </w:p>
        </w:tc>
        <w:tc>
          <w:tcPr>
            <w:tcW w:w="1445" w:type="dxa"/>
          </w:tcPr>
          <w:p w14:paraId="404AECD9" w14:textId="02ECF7C9" w:rsidR="00220713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for TV.</w:t>
            </w:r>
          </w:p>
        </w:tc>
        <w:tc>
          <w:tcPr>
            <w:tcW w:w="1620" w:type="dxa"/>
          </w:tcPr>
          <w:p w14:paraId="4605629D" w14:textId="33945C9C" w:rsidR="00220713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for TV by learning the difference between a TV and a movie script.</w:t>
            </w:r>
          </w:p>
        </w:tc>
        <w:tc>
          <w:tcPr>
            <w:tcW w:w="3070" w:type="dxa"/>
          </w:tcPr>
          <w:p w14:paraId="23DB78D1" w14:textId="73914795" w:rsidR="008B6CB6" w:rsidRPr="008E4945" w:rsidRDefault="00911951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3849" w:type="dxa"/>
          </w:tcPr>
          <w:p w14:paraId="016AEDA1" w14:textId="288783CE" w:rsidR="00877F70" w:rsidRPr="008E4945" w:rsidRDefault="00911951" w:rsidP="008B6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2247" w:type="dxa"/>
          </w:tcPr>
          <w:p w14:paraId="7E2ADAFA" w14:textId="11981B7B" w:rsidR="00DC4CF1" w:rsidRPr="008E4945" w:rsidRDefault="00911951" w:rsidP="0087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1549" w:type="dxa"/>
          </w:tcPr>
          <w:p w14:paraId="4D1FB071" w14:textId="574BB23C" w:rsidR="00220713" w:rsidRPr="008E4945" w:rsidRDefault="0091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4770C2B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11951">
              <w:rPr>
                <w:rFonts w:ascii="Times New Roman" w:hAnsi="Times New Roman" w:cs="Times New Roman"/>
                <w:b/>
              </w:rPr>
              <w:t>April3</w:t>
            </w:r>
          </w:p>
        </w:tc>
        <w:tc>
          <w:tcPr>
            <w:tcW w:w="1445" w:type="dxa"/>
          </w:tcPr>
          <w:p w14:paraId="682D461F" w14:textId="57EA9B95" w:rsidR="007905D9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for TV.</w:t>
            </w:r>
          </w:p>
        </w:tc>
        <w:tc>
          <w:tcPr>
            <w:tcW w:w="1620" w:type="dxa"/>
          </w:tcPr>
          <w:p w14:paraId="36020557" w14:textId="5DB191C1" w:rsidR="007905D9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for TV by learning the difference between a TV and a movie script.</w:t>
            </w:r>
          </w:p>
        </w:tc>
        <w:tc>
          <w:tcPr>
            <w:tcW w:w="3070" w:type="dxa"/>
          </w:tcPr>
          <w:p w14:paraId="6CC81092" w14:textId="6E40F492" w:rsidR="0086320D" w:rsidRPr="008E4945" w:rsidRDefault="00911951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3849" w:type="dxa"/>
          </w:tcPr>
          <w:p w14:paraId="5230A7CD" w14:textId="31745980" w:rsidR="00220713" w:rsidRPr="008E4945" w:rsidRDefault="0091195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2247" w:type="dxa"/>
          </w:tcPr>
          <w:p w14:paraId="2FA23991" w14:textId="57748A5B" w:rsidR="00DC4CF1" w:rsidRPr="008E4945" w:rsidRDefault="0091195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1549" w:type="dxa"/>
          </w:tcPr>
          <w:p w14:paraId="7D873E32" w14:textId="0CCF4CC6" w:rsidR="00220713" w:rsidRPr="008E4945" w:rsidRDefault="0091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1D564F31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>,</w:t>
            </w:r>
            <w:r w:rsidR="00911951">
              <w:rPr>
                <w:rFonts w:ascii="Times New Roman" w:hAnsi="Times New Roman" w:cs="Times New Roman"/>
                <w:b/>
              </w:rPr>
              <w:t xml:space="preserve"> April4</w:t>
            </w:r>
          </w:p>
        </w:tc>
        <w:tc>
          <w:tcPr>
            <w:tcW w:w="1445" w:type="dxa"/>
          </w:tcPr>
          <w:p w14:paraId="384ACD8A" w14:textId="61CC6CF7" w:rsidR="007905D9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for TV.</w:t>
            </w:r>
          </w:p>
        </w:tc>
        <w:tc>
          <w:tcPr>
            <w:tcW w:w="1620" w:type="dxa"/>
          </w:tcPr>
          <w:p w14:paraId="2D549520" w14:textId="00318517" w:rsidR="007905D9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for TV by learning the difference between a TV and a movie script.</w:t>
            </w:r>
          </w:p>
        </w:tc>
        <w:tc>
          <w:tcPr>
            <w:tcW w:w="3070" w:type="dxa"/>
          </w:tcPr>
          <w:p w14:paraId="4CD814FF" w14:textId="112BF9F3" w:rsidR="0086320D" w:rsidRPr="008E4945" w:rsidRDefault="0091195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3849" w:type="dxa"/>
          </w:tcPr>
          <w:p w14:paraId="18AA5A53" w14:textId="7F06EF27" w:rsidR="009103B4" w:rsidRPr="008E4945" w:rsidRDefault="0091195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2247" w:type="dxa"/>
          </w:tcPr>
          <w:p w14:paraId="5A57D3E7" w14:textId="698C05CF" w:rsidR="009103B4" w:rsidRPr="008E4945" w:rsidRDefault="0091195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1549" w:type="dxa"/>
          </w:tcPr>
          <w:p w14:paraId="76693622" w14:textId="7BB2A803" w:rsidR="009103B4" w:rsidRPr="008E4945" w:rsidRDefault="0091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4B91C52B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B26BDD">
      <w:rPr>
        <w:rFonts w:ascii="Times New Roman" w:hAnsi="Times New Roman" w:cs="Times New Roman"/>
      </w:rPr>
      <w:t>Marc</w:t>
    </w:r>
    <w:r w:rsidR="009F0C25">
      <w:rPr>
        <w:rFonts w:ascii="Times New Roman" w:hAnsi="Times New Roman" w:cs="Times New Roman"/>
      </w:rPr>
      <w:t>h</w:t>
    </w:r>
    <w:r w:rsidR="00911951">
      <w:rPr>
        <w:rFonts w:ascii="Times New Roman" w:hAnsi="Times New Roman" w:cs="Times New Roman"/>
      </w:rPr>
      <w:t>31-April4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408B1"/>
    <w:rsid w:val="00052010"/>
    <w:rsid w:val="00054FA5"/>
    <w:rsid w:val="00055A9F"/>
    <w:rsid w:val="0006353F"/>
    <w:rsid w:val="00085D88"/>
    <w:rsid w:val="00087B56"/>
    <w:rsid w:val="00094532"/>
    <w:rsid w:val="000A46F8"/>
    <w:rsid w:val="000B3165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78CB"/>
    <w:rsid w:val="00215D46"/>
    <w:rsid w:val="00220713"/>
    <w:rsid w:val="00231B90"/>
    <w:rsid w:val="00245498"/>
    <w:rsid w:val="0024650B"/>
    <w:rsid w:val="00282B6A"/>
    <w:rsid w:val="00283631"/>
    <w:rsid w:val="002A40E0"/>
    <w:rsid w:val="002A424D"/>
    <w:rsid w:val="002A6003"/>
    <w:rsid w:val="002D0B42"/>
    <w:rsid w:val="002D35D3"/>
    <w:rsid w:val="002E6D7C"/>
    <w:rsid w:val="002F1E79"/>
    <w:rsid w:val="002F7D1E"/>
    <w:rsid w:val="00306745"/>
    <w:rsid w:val="003416BB"/>
    <w:rsid w:val="003523FD"/>
    <w:rsid w:val="003A17AA"/>
    <w:rsid w:val="003C6F56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71E7C"/>
    <w:rsid w:val="0058779A"/>
    <w:rsid w:val="005B189A"/>
    <w:rsid w:val="005C37FE"/>
    <w:rsid w:val="005E43CE"/>
    <w:rsid w:val="005F7956"/>
    <w:rsid w:val="006177C3"/>
    <w:rsid w:val="006258F0"/>
    <w:rsid w:val="00631DEE"/>
    <w:rsid w:val="006350E1"/>
    <w:rsid w:val="00642117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76D8A"/>
    <w:rsid w:val="00777838"/>
    <w:rsid w:val="007905D9"/>
    <w:rsid w:val="007961CB"/>
    <w:rsid w:val="007964FC"/>
    <w:rsid w:val="0079712C"/>
    <w:rsid w:val="007B5970"/>
    <w:rsid w:val="007C7114"/>
    <w:rsid w:val="007E6CB0"/>
    <w:rsid w:val="0081077C"/>
    <w:rsid w:val="00810A67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E4945"/>
    <w:rsid w:val="00903762"/>
    <w:rsid w:val="00905D19"/>
    <w:rsid w:val="009103B4"/>
    <w:rsid w:val="00911951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9F0C25"/>
    <w:rsid w:val="00A01A05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45DE7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502B5"/>
    <w:rsid w:val="00C63F24"/>
    <w:rsid w:val="00C71846"/>
    <w:rsid w:val="00CB0614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4CF1"/>
    <w:rsid w:val="00DD538A"/>
    <w:rsid w:val="00DD7A72"/>
    <w:rsid w:val="00DE080E"/>
    <w:rsid w:val="00DF1750"/>
    <w:rsid w:val="00E02C1A"/>
    <w:rsid w:val="00E03BA4"/>
    <w:rsid w:val="00E34D91"/>
    <w:rsid w:val="00E50AFD"/>
    <w:rsid w:val="00E510A1"/>
    <w:rsid w:val="00E61878"/>
    <w:rsid w:val="00E63D1F"/>
    <w:rsid w:val="00ED0D4E"/>
    <w:rsid w:val="00ED3E14"/>
    <w:rsid w:val="00ED5D22"/>
    <w:rsid w:val="00EE17F1"/>
    <w:rsid w:val="00EE7DC4"/>
    <w:rsid w:val="00EF1DE9"/>
    <w:rsid w:val="00EF51DC"/>
    <w:rsid w:val="00F010C4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4</cp:revision>
  <dcterms:created xsi:type="dcterms:W3CDTF">2025-04-01T14:31:00Z</dcterms:created>
  <dcterms:modified xsi:type="dcterms:W3CDTF">2025-04-01T14:33:00Z</dcterms:modified>
</cp:coreProperties>
</file>